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7F6" w:rsidRDefault="00B967F6" w:rsidP="00B967F6">
      <w:pPr>
        <w:tabs>
          <w:tab w:val="center" w:pos="4536"/>
          <w:tab w:val="right" w:pos="9072"/>
        </w:tabs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FORMATIONS SPECIFIQUE</w:t>
      </w:r>
    </w:p>
    <w:bookmarkEnd w:id="0"/>
    <w:p w:rsidR="00275DAF" w:rsidRDefault="00275DAF" w:rsidP="00275DAF">
      <w:pPr>
        <w:tabs>
          <w:tab w:val="center" w:pos="4536"/>
          <w:tab w:val="right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École Doctorale</w:t>
      </w:r>
      <w:r w:rsidR="000C2014">
        <w:rPr>
          <w:b/>
          <w:sz w:val="24"/>
          <w:szCs w:val="24"/>
        </w:rPr>
        <w:t xml:space="preserve"> EGN</w:t>
      </w:r>
    </w:p>
    <w:p w:rsidR="00275DAF" w:rsidRDefault="00275DAF" w:rsidP="00275DAF">
      <w:pPr>
        <w:tabs>
          <w:tab w:val="center" w:pos="4536"/>
          <w:tab w:val="right" w:pos="9072"/>
        </w:tabs>
        <w:jc w:val="center"/>
        <w:rPr>
          <w:b/>
          <w:sz w:val="24"/>
          <w:szCs w:val="24"/>
        </w:rPr>
      </w:pPr>
    </w:p>
    <w:p w:rsidR="00275DAF" w:rsidRDefault="000C2014" w:rsidP="00AC1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 w:cs="Calibri,Bold"/>
          <w:b/>
          <w:bCs/>
          <w:sz w:val="28"/>
          <w:szCs w:val="28"/>
        </w:rPr>
      </w:pPr>
      <w:r>
        <w:rPr>
          <w:rFonts w:eastAsia="Calibri" w:cs="Calibri,Bold"/>
          <w:b/>
          <w:bCs/>
          <w:sz w:val="28"/>
          <w:szCs w:val="28"/>
        </w:rPr>
        <w:t>Initiation à la Cartographie</w:t>
      </w:r>
    </w:p>
    <w:p w:rsidR="00AC1716" w:rsidRDefault="00AC1716" w:rsidP="00AC1716">
      <w:pPr>
        <w:jc w:val="center"/>
        <w:rPr>
          <w:b/>
          <w:sz w:val="28"/>
          <w:szCs w:val="28"/>
        </w:rPr>
      </w:pPr>
    </w:p>
    <w:p w:rsidR="00AC1716" w:rsidRDefault="00AC1716" w:rsidP="00AC171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581"/>
        <w:gridCol w:w="4461"/>
      </w:tblGrid>
      <w:tr w:rsidR="00F36D7D" w:rsidTr="00275DAF">
        <w:trPr>
          <w:trHeight w:val="3384"/>
        </w:trPr>
        <w:tc>
          <w:tcPr>
            <w:tcW w:w="50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DAF" w:rsidRDefault="00275DAF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C6D9F1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OBJECTIFS</w:t>
            </w:r>
          </w:p>
          <w:p w:rsidR="00275DAF" w:rsidRDefault="00275DAF">
            <w:pPr>
              <w:rPr>
                <w:rFonts w:cs="Arial"/>
                <w:sz w:val="20"/>
              </w:rPr>
            </w:pPr>
          </w:p>
          <w:p w:rsidR="00275DAF" w:rsidRDefault="00220AEA" w:rsidP="00220AEA">
            <w:pPr>
              <w:adjustRightInd w:val="0"/>
              <w:jc w:val="left"/>
              <w:rPr>
                <w:sz w:val="20"/>
              </w:rPr>
            </w:pPr>
            <w:r w:rsidRPr="000C2014">
              <w:rPr>
                <w:rFonts w:eastAsia="Calibri" w:cs="Calibri"/>
                <w:sz w:val="20"/>
              </w:rPr>
              <w:t>L’objectif de cette formation est d’initier les doctorants aux principes et aux règles d’utilisation des systèmes d’information géographique. Plusieurs logiciels leur seront présentés (</w:t>
            </w:r>
            <w:proofErr w:type="spellStart"/>
            <w:r w:rsidRPr="000C2014">
              <w:rPr>
                <w:rFonts w:eastAsia="Calibri" w:cs="Calibri"/>
                <w:sz w:val="20"/>
              </w:rPr>
              <w:t>ArcGis</w:t>
            </w:r>
            <w:proofErr w:type="spellEnd"/>
            <w:r w:rsidRPr="000C2014">
              <w:rPr>
                <w:rFonts w:eastAsia="Calibri" w:cs="Calibri"/>
                <w:sz w:val="20"/>
              </w:rPr>
              <w:t xml:space="preserve"> et </w:t>
            </w:r>
            <w:proofErr w:type="spellStart"/>
            <w:r w:rsidRPr="000C2014">
              <w:rPr>
                <w:rFonts w:eastAsia="Calibri" w:cs="Calibri"/>
                <w:sz w:val="20"/>
              </w:rPr>
              <w:t>Qgis</w:t>
            </w:r>
            <w:proofErr w:type="spellEnd"/>
            <w:r w:rsidRPr="000C2014">
              <w:rPr>
                <w:rFonts w:eastAsia="Calibri" w:cs="Calibri"/>
                <w:sz w:val="20"/>
              </w:rPr>
              <w:t>)</w:t>
            </w:r>
            <w:r w:rsidR="00B42FB5">
              <w:rPr>
                <w:rFonts w:eastAsia="Calibri" w:cs="Calibri"/>
                <w:sz w:val="20"/>
              </w:rPr>
              <w:t>. L</w:t>
            </w:r>
            <w:r w:rsidRPr="000C2014">
              <w:rPr>
                <w:rFonts w:eastAsia="Calibri" w:cs="Calibri"/>
                <w:sz w:val="20"/>
              </w:rPr>
              <w:t>es enseignements pratiques auront lieu dans une salle informatique de l’UFR SEGGAT. Des temps d’échanges permettront d’évoquer les données et les traitements cartographiques que les doctorants envisagent dans leur thèse.</w:t>
            </w:r>
          </w:p>
          <w:p w:rsidR="00275DAF" w:rsidRDefault="00275DAF">
            <w:pPr>
              <w:pStyle w:val="Sansinterligne2"/>
              <w:rPr>
                <w:rFonts w:ascii="Trebuchet MS" w:hAnsi="Trebuchet MS"/>
                <w:sz w:val="20"/>
                <w:szCs w:val="20"/>
              </w:rPr>
            </w:pPr>
          </w:p>
          <w:p w:rsidR="00275DAF" w:rsidRDefault="00275DAF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C6D9F1"/>
              <w:rPr>
                <w:b/>
                <w:sz w:val="20"/>
              </w:rPr>
            </w:pPr>
            <w:r>
              <w:rPr>
                <w:b/>
                <w:sz w:val="20"/>
              </w:rPr>
              <w:t>LIEU</w:t>
            </w:r>
          </w:p>
          <w:p w:rsidR="00275DAF" w:rsidRDefault="00F45C91">
            <w:pPr>
              <w:pStyle w:val="Sansinterligne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Université de Caen Normandie, en présentiel.</w:t>
            </w:r>
          </w:p>
          <w:p w:rsidR="00275DAF" w:rsidRDefault="00275DAF">
            <w:pPr>
              <w:pStyle w:val="Sansinterligne2"/>
              <w:rPr>
                <w:rFonts w:ascii="Trebuchet MS" w:hAnsi="Trebuchet MS"/>
                <w:sz w:val="20"/>
                <w:szCs w:val="20"/>
              </w:rPr>
            </w:pPr>
          </w:p>
          <w:p w:rsidR="00275DAF" w:rsidRDefault="00275DAF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C6D9F1"/>
              <w:rPr>
                <w:b/>
                <w:sz w:val="20"/>
              </w:rPr>
            </w:pPr>
            <w:r>
              <w:rPr>
                <w:b/>
                <w:sz w:val="20"/>
              </w:rPr>
              <w:t>VOLUME HORAIRE</w:t>
            </w:r>
          </w:p>
          <w:p w:rsidR="00275DAF" w:rsidRDefault="00F45C91">
            <w:pPr>
              <w:pStyle w:val="Sansinterligne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12h (</w:t>
            </w:r>
            <w:r w:rsidR="00A60AFC">
              <w:rPr>
                <w:rFonts w:ascii="Trebuchet MS" w:hAnsi="Trebuchet MS"/>
                <w:sz w:val="20"/>
                <w:szCs w:val="20"/>
              </w:rPr>
              <w:t>3</w:t>
            </w:r>
            <w:r>
              <w:rPr>
                <w:rFonts w:ascii="Trebuchet MS" w:hAnsi="Trebuchet MS"/>
                <w:sz w:val="20"/>
                <w:szCs w:val="20"/>
              </w:rPr>
              <w:t xml:space="preserve">h cours et </w:t>
            </w:r>
            <w:r w:rsidR="00A60AFC">
              <w:rPr>
                <w:rFonts w:ascii="Trebuchet MS" w:hAnsi="Trebuchet MS"/>
                <w:sz w:val="20"/>
                <w:szCs w:val="20"/>
              </w:rPr>
              <w:t>9</w:t>
            </w:r>
            <w:r>
              <w:rPr>
                <w:rFonts w:ascii="Trebuchet MS" w:hAnsi="Trebuchet MS"/>
                <w:sz w:val="20"/>
                <w:szCs w:val="20"/>
              </w:rPr>
              <w:t>h TD)</w:t>
            </w:r>
          </w:p>
          <w:p w:rsidR="00275DAF" w:rsidRDefault="00275DAF">
            <w:pPr>
              <w:pStyle w:val="Sansinterligne2"/>
              <w:rPr>
                <w:rFonts w:ascii="Trebuchet MS" w:hAnsi="Trebuchet MS"/>
                <w:sz w:val="20"/>
                <w:szCs w:val="20"/>
              </w:rPr>
            </w:pPr>
          </w:p>
          <w:p w:rsidR="00275DAF" w:rsidRDefault="00275DAF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  <w:between w:val="single" w:sz="4" w:space="1" w:color="auto"/>
              </w:pBdr>
              <w:shd w:val="clear" w:color="auto" w:fill="C6D9F1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</w:p>
          <w:p w:rsidR="00275DAF" w:rsidRDefault="00F45C91">
            <w:pPr>
              <w:rPr>
                <w:sz w:val="20"/>
              </w:rPr>
            </w:pPr>
            <w:r>
              <w:rPr>
                <w:sz w:val="20"/>
              </w:rPr>
              <w:t>Doctorants des écoles doctorales DN, EGN, HSRT et HMPL</w:t>
            </w:r>
          </w:p>
          <w:p w:rsidR="00275DAF" w:rsidRDefault="00275DAF">
            <w:pPr>
              <w:rPr>
                <w:sz w:val="20"/>
              </w:rPr>
            </w:pPr>
          </w:p>
          <w:p w:rsidR="00275DAF" w:rsidRDefault="00275DAF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  <w:between w:val="single" w:sz="4" w:space="1" w:color="auto"/>
              </w:pBdr>
              <w:shd w:val="clear" w:color="auto" w:fill="C6D9F1"/>
              <w:rPr>
                <w:sz w:val="20"/>
              </w:rPr>
            </w:pPr>
            <w:r>
              <w:rPr>
                <w:sz w:val="20"/>
              </w:rPr>
              <w:t>PRÉREQUIS</w:t>
            </w:r>
          </w:p>
          <w:p w:rsidR="00275DAF" w:rsidRDefault="00F45C91">
            <w:pPr>
              <w:rPr>
                <w:sz w:val="20"/>
              </w:rPr>
            </w:pPr>
            <w:r>
              <w:rPr>
                <w:sz w:val="20"/>
              </w:rPr>
              <w:t xml:space="preserve">Aucun. </w:t>
            </w:r>
            <w:r w:rsidRPr="00B42FB5">
              <w:rPr>
                <w:sz w:val="20"/>
              </w:rPr>
              <w:t>Un</w:t>
            </w:r>
            <w:r w:rsidR="00A60AFC" w:rsidRPr="00B42FB5">
              <w:rPr>
                <w:sz w:val="20"/>
              </w:rPr>
              <w:t>e</w:t>
            </w:r>
            <w:r>
              <w:rPr>
                <w:sz w:val="20"/>
              </w:rPr>
              <w:t xml:space="preserve"> problématique de thèse nécessitant le recours à des outils de cartographie sera un critère pour la sélection des candidats admis dans la formation</w:t>
            </w:r>
          </w:p>
          <w:p w:rsidR="00275DAF" w:rsidRDefault="00275DAF">
            <w:pPr>
              <w:rPr>
                <w:sz w:val="20"/>
              </w:rPr>
            </w:pPr>
          </w:p>
          <w:p w:rsidR="00275DAF" w:rsidRDefault="00275DAF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  <w:between w:val="single" w:sz="4" w:space="1" w:color="auto"/>
              </w:pBdr>
              <w:shd w:val="clear" w:color="auto" w:fill="C6D9F1"/>
              <w:rPr>
                <w:b/>
                <w:sz w:val="20"/>
              </w:rPr>
            </w:pPr>
            <w:r>
              <w:rPr>
                <w:b/>
                <w:sz w:val="20"/>
              </w:rPr>
              <w:t>CAPACITÉ D’ACCUEIL</w:t>
            </w:r>
          </w:p>
          <w:p w:rsidR="00275DAF" w:rsidRDefault="00F45C91">
            <w:pPr>
              <w:rPr>
                <w:sz w:val="20"/>
              </w:rPr>
            </w:pPr>
            <w:r>
              <w:rPr>
                <w:sz w:val="20"/>
              </w:rPr>
              <w:t>20 places</w:t>
            </w:r>
          </w:p>
          <w:p w:rsidR="00275DAF" w:rsidRDefault="00275DAF">
            <w:pPr>
              <w:rPr>
                <w:sz w:val="20"/>
              </w:rPr>
            </w:pPr>
          </w:p>
          <w:p w:rsidR="00275DAF" w:rsidRDefault="00275DAF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C6D9F1"/>
              <w:rPr>
                <w:b/>
                <w:sz w:val="20"/>
              </w:rPr>
            </w:pPr>
            <w:r>
              <w:rPr>
                <w:b/>
                <w:sz w:val="20"/>
              </w:rPr>
              <w:t>REMARQUE</w:t>
            </w:r>
          </w:p>
          <w:p w:rsidR="00275DAF" w:rsidRDefault="00275DAF">
            <w:pPr>
              <w:rPr>
                <w:sz w:val="20"/>
              </w:rPr>
            </w:pPr>
          </w:p>
          <w:p w:rsidR="00275DAF" w:rsidRDefault="00F45C91">
            <w:pPr>
              <w:rPr>
                <w:sz w:val="20"/>
              </w:rPr>
            </w:pPr>
            <w:r>
              <w:rPr>
                <w:sz w:val="20"/>
              </w:rPr>
              <w:t xml:space="preserve">Les inscriptions sont gérées par l’école doctorale économie gestion Normandie. La formation bénéficie du soutien de </w:t>
            </w:r>
            <w:r w:rsidRPr="00B42FB5">
              <w:rPr>
                <w:sz w:val="20"/>
              </w:rPr>
              <w:t xml:space="preserve">la </w:t>
            </w:r>
            <w:r w:rsidR="00A60AFC" w:rsidRPr="00B42FB5">
              <w:rPr>
                <w:sz w:val="20"/>
              </w:rPr>
              <w:t>PUDC-</w:t>
            </w:r>
            <w:proofErr w:type="spellStart"/>
            <w:r w:rsidR="00A60AFC" w:rsidRPr="00B42FB5">
              <w:rPr>
                <w:sz w:val="20"/>
              </w:rPr>
              <w:t>Progedo</w:t>
            </w:r>
            <w:proofErr w:type="spellEnd"/>
            <w:r w:rsidR="00A60AFC" w:rsidRPr="00B42FB5">
              <w:rPr>
                <w:sz w:val="20"/>
              </w:rPr>
              <w:t xml:space="preserve"> de la MRSH de Caen</w:t>
            </w:r>
            <w:r w:rsidR="00B42FB5">
              <w:rPr>
                <w:sz w:val="20"/>
              </w:rPr>
              <w:t>.</w:t>
            </w:r>
          </w:p>
          <w:p w:rsidR="00275DAF" w:rsidRDefault="00275DAF">
            <w:pPr>
              <w:rPr>
                <w:sz w:val="20"/>
              </w:rPr>
            </w:pPr>
          </w:p>
        </w:tc>
        <w:tc>
          <w:tcPr>
            <w:tcW w:w="498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275DAF" w:rsidRDefault="00275DAF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C6D9F1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PROGRAMME</w:t>
            </w:r>
          </w:p>
          <w:p w:rsidR="00275DAF" w:rsidRDefault="00275DAF">
            <w:pPr>
              <w:rPr>
                <w:sz w:val="20"/>
                <w:u w:val="single"/>
              </w:rPr>
            </w:pPr>
          </w:p>
          <w:p w:rsidR="00F36D7D" w:rsidRDefault="00F36D7D">
            <w:pPr>
              <w:rPr>
                <w:sz w:val="20"/>
                <w:u w:val="single"/>
              </w:rPr>
            </w:pPr>
          </w:p>
          <w:p w:rsidR="00F36D7D" w:rsidRDefault="00F36D7D" w:rsidP="00F36D7D">
            <w:pPr>
              <w:adjustRightInd w:val="0"/>
              <w:jc w:val="left"/>
              <w:rPr>
                <w:rFonts w:eastAsia="Calibri" w:cs="Calibri"/>
                <w:color w:val="000000" w:themeColor="text1"/>
                <w:sz w:val="20"/>
              </w:rPr>
            </w:pPr>
            <w:r>
              <w:rPr>
                <w:rFonts w:eastAsia="Calibri" w:cs="Calibri"/>
                <w:color w:val="000000" w:themeColor="text1"/>
                <w:sz w:val="20"/>
              </w:rPr>
              <w:t>La formation sera assurée par Maxime Marie et Fabien Guillot, maîtres de conférences en géographie à l’université de Caen Normandie.</w:t>
            </w:r>
          </w:p>
          <w:p w:rsidR="00F36D7D" w:rsidRDefault="00F36D7D">
            <w:pPr>
              <w:rPr>
                <w:sz w:val="20"/>
                <w:u w:val="single"/>
              </w:rPr>
            </w:pPr>
          </w:p>
          <w:p w:rsidR="00F36D7D" w:rsidRDefault="00F36D7D">
            <w:pPr>
              <w:rPr>
                <w:sz w:val="20"/>
                <w:u w:val="single"/>
              </w:rPr>
            </w:pPr>
          </w:p>
          <w:p w:rsidR="006B5500" w:rsidRPr="00F36D7D" w:rsidRDefault="00220AEA">
            <w:pPr>
              <w:adjustRightInd w:val="0"/>
              <w:jc w:val="left"/>
              <w:rPr>
                <w:rFonts w:eastAsia="Calibri" w:cs="Calibri"/>
                <w:sz w:val="20"/>
              </w:rPr>
            </w:pPr>
            <w:r w:rsidRPr="00F36D7D">
              <w:rPr>
                <w:rFonts w:eastAsia="Calibri" w:cs="Calibri"/>
                <w:sz w:val="20"/>
              </w:rPr>
              <w:t>23 mai 2022</w:t>
            </w:r>
            <w:r w:rsidR="00F36D7D">
              <w:rPr>
                <w:rFonts w:eastAsia="Calibri" w:cs="Calibri"/>
                <w:sz w:val="20"/>
              </w:rPr>
              <w:t> :</w:t>
            </w:r>
          </w:p>
          <w:p w:rsidR="00220AEA" w:rsidRPr="00F36D7D" w:rsidRDefault="00220AEA">
            <w:pPr>
              <w:adjustRightInd w:val="0"/>
              <w:jc w:val="left"/>
              <w:rPr>
                <w:rFonts w:eastAsia="Calibri" w:cs="Calibri"/>
                <w:sz w:val="20"/>
              </w:rPr>
            </w:pPr>
          </w:p>
          <w:p w:rsidR="00220AEA" w:rsidRPr="00F36D7D" w:rsidRDefault="00220AEA">
            <w:pPr>
              <w:adjustRightInd w:val="0"/>
              <w:jc w:val="left"/>
              <w:rPr>
                <w:rFonts w:eastAsia="Calibri" w:cs="Calibri"/>
                <w:sz w:val="20"/>
              </w:rPr>
            </w:pPr>
            <w:r w:rsidRPr="00F36D7D">
              <w:rPr>
                <w:rFonts w:eastAsia="Calibri" w:cs="Calibri"/>
                <w:sz w:val="20"/>
              </w:rPr>
              <w:t>9h30-12h30 : Introduction aux SIG</w:t>
            </w:r>
            <w:r w:rsidR="00B43C05" w:rsidRPr="00F36D7D">
              <w:rPr>
                <w:rFonts w:eastAsia="Calibri" w:cs="Calibri"/>
                <w:sz w:val="20"/>
              </w:rPr>
              <w:t xml:space="preserve"> (Fabien Guillot)</w:t>
            </w:r>
          </w:p>
          <w:p w:rsidR="00220AEA" w:rsidRPr="00F36D7D" w:rsidRDefault="00220AEA" w:rsidP="00220AEA">
            <w:pPr>
              <w:adjustRightInd w:val="0"/>
              <w:jc w:val="left"/>
              <w:rPr>
                <w:rFonts w:eastAsia="Calibri" w:cs="Calibri"/>
                <w:sz w:val="20"/>
              </w:rPr>
            </w:pPr>
            <w:r w:rsidRPr="00F36D7D">
              <w:rPr>
                <w:rFonts w:eastAsia="Calibri" w:cs="Calibri"/>
                <w:sz w:val="20"/>
              </w:rPr>
              <w:t>14h-17h : Mise en pratique (TD1</w:t>
            </w:r>
            <w:r w:rsidR="00B43C05" w:rsidRPr="00F36D7D">
              <w:rPr>
                <w:rFonts w:eastAsia="Calibri" w:cs="Calibri"/>
                <w:sz w:val="20"/>
              </w:rPr>
              <w:t xml:space="preserve"> - Fabien Guillot</w:t>
            </w:r>
            <w:r w:rsidRPr="00F36D7D">
              <w:rPr>
                <w:rFonts w:eastAsia="Calibri" w:cs="Calibri"/>
                <w:sz w:val="20"/>
              </w:rPr>
              <w:t>)</w:t>
            </w:r>
          </w:p>
          <w:p w:rsidR="00220AEA" w:rsidRPr="00F36D7D" w:rsidRDefault="00220AEA" w:rsidP="00220AEA">
            <w:pPr>
              <w:adjustRightInd w:val="0"/>
              <w:jc w:val="left"/>
              <w:rPr>
                <w:rFonts w:eastAsia="Calibri" w:cs="Calibri"/>
                <w:sz w:val="20"/>
              </w:rPr>
            </w:pPr>
          </w:p>
          <w:p w:rsidR="00220AEA" w:rsidRPr="00F36D7D" w:rsidRDefault="00220AEA" w:rsidP="00220AEA">
            <w:pPr>
              <w:adjustRightInd w:val="0"/>
              <w:jc w:val="left"/>
              <w:rPr>
                <w:rFonts w:eastAsia="Calibri" w:cs="Calibri"/>
                <w:sz w:val="20"/>
              </w:rPr>
            </w:pPr>
            <w:r w:rsidRPr="00F36D7D">
              <w:rPr>
                <w:rFonts w:eastAsia="Calibri" w:cs="Calibri"/>
                <w:sz w:val="20"/>
              </w:rPr>
              <w:t>24 mai 2022</w:t>
            </w:r>
            <w:r w:rsidR="00F36D7D">
              <w:rPr>
                <w:rFonts w:eastAsia="Calibri" w:cs="Calibri"/>
                <w:sz w:val="20"/>
              </w:rPr>
              <w:t> :</w:t>
            </w:r>
          </w:p>
          <w:p w:rsidR="00220AEA" w:rsidRPr="00F36D7D" w:rsidRDefault="00220AEA" w:rsidP="00220AEA">
            <w:pPr>
              <w:adjustRightInd w:val="0"/>
              <w:jc w:val="left"/>
              <w:rPr>
                <w:rFonts w:eastAsia="Calibri" w:cs="Calibri"/>
                <w:sz w:val="20"/>
              </w:rPr>
            </w:pPr>
          </w:p>
          <w:p w:rsidR="00220AEA" w:rsidRPr="00F36D7D" w:rsidRDefault="00220AEA" w:rsidP="00220AEA">
            <w:pPr>
              <w:adjustRightInd w:val="0"/>
              <w:jc w:val="left"/>
              <w:rPr>
                <w:rFonts w:eastAsia="Calibri" w:cs="Calibri"/>
                <w:sz w:val="20"/>
              </w:rPr>
            </w:pPr>
            <w:r w:rsidRPr="00F36D7D">
              <w:rPr>
                <w:rFonts w:eastAsia="Calibri" w:cs="Calibri"/>
                <w:sz w:val="20"/>
              </w:rPr>
              <w:t>9h-12h : Mise en pratique (TD2</w:t>
            </w:r>
            <w:r w:rsidR="00B43C05" w:rsidRPr="00F36D7D">
              <w:rPr>
                <w:rFonts w:eastAsia="Calibri" w:cs="Calibri"/>
                <w:sz w:val="20"/>
              </w:rPr>
              <w:t xml:space="preserve"> – Maxime Marie</w:t>
            </w:r>
            <w:r w:rsidRPr="00F36D7D">
              <w:rPr>
                <w:rFonts w:eastAsia="Calibri" w:cs="Calibri"/>
                <w:sz w:val="20"/>
              </w:rPr>
              <w:t>)</w:t>
            </w:r>
          </w:p>
          <w:p w:rsidR="00220AEA" w:rsidRDefault="00220AEA" w:rsidP="00220AEA">
            <w:pPr>
              <w:adjustRightInd w:val="0"/>
              <w:jc w:val="left"/>
              <w:rPr>
                <w:rFonts w:eastAsia="Calibri" w:cs="Calibri"/>
                <w:sz w:val="20"/>
              </w:rPr>
            </w:pPr>
            <w:r w:rsidRPr="00F36D7D">
              <w:rPr>
                <w:rFonts w:eastAsia="Calibri" w:cs="Calibri"/>
                <w:sz w:val="20"/>
              </w:rPr>
              <w:t>13h30-16h30 : Mise en pratique (TD3</w:t>
            </w:r>
            <w:r w:rsidR="00B43C05" w:rsidRPr="00F36D7D">
              <w:rPr>
                <w:rFonts w:eastAsia="Calibri" w:cs="Calibri"/>
                <w:sz w:val="20"/>
              </w:rPr>
              <w:t xml:space="preserve"> – Maxime Marie</w:t>
            </w:r>
            <w:r w:rsidRPr="00F36D7D">
              <w:rPr>
                <w:rFonts w:eastAsia="Calibri" w:cs="Calibri"/>
                <w:sz w:val="20"/>
              </w:rPr>
              <w:t>)</w:t>
            </w:r>
          </w:p>
          <w:p w:rsidR="006B5500" w:rsidRDefault="006B5500">
            <w:pPr>
              <w:adjustRightInd w:val="0"/>
              <w:jc w:val="left"/>
              <w:rPr>
                <w:rFonts w:eastAsia="Calibri" w:cs="Calibri"/>
                <w:color w:val="000000"/>
                <w:sz w:val="20"/>
              </w:rPr>
            </w:pPr>
          </w:p>
        </w:tc>
      </w:tr>
    </w:tbl>
    <w:p w:rsidR="00773EBE" w:rsidRDefault="00773EBE"/>
    <w:sectPr w:rsidR="00773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65865"/>
    <w:multiLevelType w:val="hybridMultilevel"/>
    <w:tmpl w:val="EE26B970"/>
    <w:lvl w:ilvl="0" w:tplc="A6348FD8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,Bold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DAF"/>
    <w:rsid w:val="000C2014"/>
    <w:rsid w:val="00220AEA"/>
    <w:rsid w:val="00275DAF"/>
    <w:rsid w:val="002B0F05"/>
    <w:rsid w:val="0068759E"/>
    <w:rsid w:val="006B5500"/>
    <w:rsid w:val="00773EBE"/>
    <w:rsid w:val="008F7C65"/>
    <w:rsid w:val="009B3655"/>
    <w:rsid w:val="00A60AFC"/>
    <w:rsid w:val="00A845D4"/>
    <w:rsid w:val="00A92D2B"/>
    <w:rsid w:val="00AC1716"/>
    <w:rsid w:val="00B42FB5"/>
    <w:rsid w:val="00B43C05"/>
    <w:rsid w:val="00B967F6"/>
    <w:rsid w:val="00D10070"/>
    <w:rsid w:val="00EB6792"/>
    <w:rsid w:val="00F36D7D"/>
    <w:rsid w:val="00F4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FDDF"/>
  <w15:chartTrackingRefBased/>
  <w15:docId w15:val="{B7686E2B-4195-49CB-BACF-625CA29E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DAF"/>
    <w:pPr>
      <w:autoSpaceDE w:val="0"/>
      <w:autoSpaceDN w:val="0"/>
      <w:spacing w:after="0" w:line="240" w:lineRule="auto"/>
      <w:jc w:val="both"/>
    </w:pPr>
    <w:rPr>
      <w:rFonts w:ascii="Trebuchet MS" w:eastAsia="Times New Roman" w:hAnsi="Trebuchet MS" w:cs="Times New Roman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ansinterligneCar">
    <w:name w:val="Sans interligne Car"/>
    <w:link w:val="Sansinterligne2"/>
    <w:uiPriority w:val="1"/>
    <w:locked/>
    <w:rsid w:val="00275DAF"/>
    <w:rPr>
      <w:rFonts w:ascii="Times New Roman" w:eastAsia="Times New Roman" w:hAnsi="Times New Roman" w:cs="Times New Roman"/>
    </w:rPr>
  </w:style>
  <w:style w:type="paragraph" w:customStyle="1" w:styleId="Sansinterligne2">
    <w:name w:val="Sans interligne2"/>
    <w:link w:val="SansinterligneCar"/>
    <w:uiPriority w:val="1"/>
    <w:qFormat/>
    <w:rsid w:val="00275DA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687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2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Rouen Normandie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LEROUGE (Personnel)</dc:creator>
  <cp:keywords/>
  <dc:description/>
  <cp:lastModifiedBy>Vincent Merlin</cp:lastModifiedBy>
  <cp:revision>6</cp:revision>
  <dcterms:created xsi:type="dcterms:W3CDTF">2021-09-15T17:09:00Z</dcterms:created>
  <dcterms:modified xsi:type="dcterms:W3CDTF">2021-09-23T16:43:00Z</dcterms:modified>
</cp:coreProperties>
</file>